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C32D3" w14:textId="55152419" w:rsidR="005E1A04" w:rsidRPr="008E7FCE" w:rsidRDefault="00D31678" w:rsidP="00D31678">
      <w:pPr>
        <w:pStyle w:val="xmsonormal"/>
        <w:shd w:val="clear" w:color="auto" w:fill="FFFFFF"/>
        <w:rPr>
          <w:color w:val="000000"/>
          <w:sz w:val="22"/>
          <w:szCs w:val="22"/>
        </w:rPr>
      </w:pPr>
      <w:r w:rsidRPr="008E7FCE">
        <w:rPr>
          <w:b/>
          <w:bCs/>
          <w:color w:val="000000"/>
          <w:sz w:val="22"/>
          <w:szCs w:val="22"/>
        </w:rPr>
        <w:t>Ealing Law Centre,</w:t>
      </w:r>
      <w:r w:rsidRPr="008E7FCE">
        <w:rPr>
          <w:color w:val="000000"/>
          <w:sz w:val="22"/>
          <w:szCs w:val="22"/>
        </w:rPr>
        <w:t> </w:t>
      </w:r>
      <w:r w:rsidRPr="008E7FCE">
        <w:rPr>
          <w:b/>
          <w:bCs/>
          <w:color w:val="000000"/>
          <w:sz w:val="22"/>
          <w:szCs w:val="22"/>
        </w:rPr>
        <w:t>West London Equality Centre </w:t>
      </w:r>
      <w:r w:rsidRPr="008E7FCE">
        <w:rPr>
          <w:color w:val="000000"/>
          <w:sz w:val="22"/>
          <w:szCs w:val="22"/>
        </w:rPr>
        <w:t>and</w:t>
      </w:r>
      <w:r w:rsidRPr="008E7FCE">
        <w:rPr>
          <w:b/>
          <w:bCs/>
          <w:color w:val="000000"/>
          <w:sz w:val="22"/>
          <w:szCs w:val="22"/>
        </w:rPr>
        <w:t> Hammersmith and Fulham Law Centre</w:t>
      </w:r>
      <w:r w:rsidRPr="008E7FCE">
        <w:rPr>
          <w:color w:val="000000"/>
          <w:sz w:val="22"/>
          <w:szCs w:val="22"/>
        </w:rPr>
        <w:t> are pleased to announce the continuation of services</w:t>
      </w:r>
      <w:r w:rsidR="0033617D" w:rsidRPr="008E7FCE">
        <w:rPr>
          <w:color w:val="000000"/>
          <w:sz w:val="22"/>
          <w:szCs w:val="22"/>
        </w:rPr>
        <w:t xml:space="preserve"> for</w:t>
      </w:r>
      <w:r w:rsidRPr="008E7FCE">
        <w:rPr>
          <w:color w:val="000000"/>
          <w:sz w:val="22"/>
          <w:szCs w:val="22"/>
        </w:rPr>
        <w:t xml:space="preserve"> supporting vulnerable EU, EEA or Swiss citizens and their close family members to secure status under the EU Settlement Scheme</w:t>
      </w:r>
      <w:r w:rsidR="005E1A04" w:rsidRPr="008E7FCE">
        <w:rPr>
          <w:color w:val="000000"/>
          <w:sz w:val="22"/>
          <w:szCs w:val="22"/>
        </w:rPr>
        <w:t xml:space="preserve">. Our </w:t>
      </w:r>
      <w:r w:rsidRPr="008E7FCE">
        <w:rPr>
          <w:color w:val="000000"/>
          <w:sz w:val="22"/>
          <w:szCs w:val="22"/>
        </w:rPr>
        <w:t>work is supported by Home Office grant-funding until 31st March 2021.</w:t>
      </w:r>
    </w:p>
    <w:p w14:paraId="3EB9F1EA" w14:textId="77777777" w:rsidR="005E1A04" w:rsidRPr="008E7FCE" w:rsidRDefault="005E1A04" w:rsidP="00D31678">
      <w:pPr>
        <w:pStyle w:val="xmsonormal"/>
        <w:shd w:val="clear" w:color="auto" w:fill="FFFFFF"/>
        <w:rPr>
          <w:color w:val="000000"/>
          <w:sz w:val="22"/>
          <w:szCs w:val="22"/>
        </w:rPr>
      </w:pPr>
    </w:p>
    <w:p w14:paraId="46D99DD8" w14:textId="39EB73ED" w:rsidR="005E1A04" w:rsidRPr="008E7FCE" w:rsidRDefault="005E1A04" w:rsidP="005E1A04">
      <w:pPr>
        <w:rPr>
          <w:sz w:val="22"/>
          <w:szCs w:val="22"/>
          <w:lang w:val="en-GB"/>
        </w:rPr>
      </w:pPr>
      <w:r w:rsidRPr="008E7FCE">
        <w:rPr>
          <w:color w:val="000000"/>
          <w:sz w:val="22"/>
          <w:szCs w:val="22"/>
        </w:rPr>
        <w:t xml:space="preserve">Our services will </w:t>
      </w:r>
      <w:r w:rsidR="0033617D" w:rsidRPr="008E7FCE">
        <w:rPr>
          <w:color w:val="000000"/>
          <w:sz w:val="22"/>
          <w:szCs w:val="22"/>
        </w:rPr>
        <w:t xml:space="preserve">include </w:t>
      </w:r>
      <w:r w:rsidRPr="008E7FCE">
        <w:rPr>
          <w:color w:val="000000"/>
          <w:sz w:val="22"/>
          <w:szCs w:val="22"/>
        </w:rPr>
        <w:t xml:space="preserve">practical support to vulnerable EU, EEA and Swiss citizens and </w:t>
      </w:r>
      <w:r w:rsidR="0033617D" w:rsidRPr="008E7FCE">
        <w:rPr>
          <w:color w:val="000000"/>
          <w:sz w:val="22"/>
          <w:szCs w:val="22"/>
        </w:rPr>
        <w:t xml:space="preserve">assistance to </w:t>
      </w:r>
      <w:r w:rsidRPr="008E7FCE">
        <w:rPr>
          <w:color w:val="000000"/>
          <w:sz w:val="22"/>
          <w:szCs w:val="22"/>
        </w:rPr>
        <w:t>make application</w:t>
      </w:r>
      <w:r w:rsidR="008E7FCE" w:rsidRPr="008E7FCE">
        <w:rPr>
          <w:color w:val="000000"/>
          <w:sz w:val="22"/>
          <w:szCs w:val="22"/>
        </w:rPr>
        <w:t>s</w:t>
      </w:r>
      <w:r w:rsidRPr="008E7FCE">
        <w:rPr>
          <w:color w:val="000000"/>
          <w:sz w:val="22"/>
          <w:szCs w:val="22"/>
        </w:rPr>
        <w:t xml:space="preserve"> under the EU Settlement Scheme</w:t>
      </w:r>
      <w:r w:rsidRPr="008E7FCE">
        <w:rPr>
          <w:sz w:val="22"/>
          <w:szCs w:val="22"/>
          <w:lang w:val="en-GB"/>
        </w:rPr>
        <w:t>.</w:t>
      </w:r>
    </w:p>
    <w:p w14:paraId="252A2CF2" w14:textId="77777777" w:rsidR="005E1A04" w:rsidRPr="008E7FCE" w:rsidRDefault="005E1A04" w:rsidP="005E1A04">
      <w:pPr>
        <w:rPr>
          <w:sz w:val="22"/>
          <w:szCs w:val="22"/>
          <w:lang w:val="en-GB"/>
        </w:rPr>
      </w:pPr>
    </w:p>
    <w:p w14:paraId="07A94738" w14:textId="3A09AF2D" w:rsidR="00AF5C29" w:rsidRDefault="00AF5C29" w:rsidP="0079771B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</w:pPr>
      <w:r w:rsidRPr="00AF5C29">
        <w:rPr>
          <w:color w:val="000000"/>
          <w:sz w:val="22"/>
          <w:szCs w:val="22"/>
        </w:rPr>
        <w:t>Having settled or pre-settled status allows those living here by 31st December 2020 to stay here after the UK has moved beyond the transition period in relation to the EU.</w:t>
      </w:r>
    </w:p>
    <w:p w14:paraId="3CEB1D29" w14:textId="77777777" w:rsidR="0079771B" w:rsidRPr="0079771B" w:rsidRDefault="0079771B" w:rsidP="007977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</w:pPr>
    </w:p>
    <w:p w14:paraId="52BC6296" w14:textId="1D13DC52" w:rsidR="0079771B" w:rsidRDefault="00F41C65" w:rsidP="0079771B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Current deadline for applications is</w:t>
      </w:r>
      <w:r w:rsidR="00AF5C29" w:rsidRPr="00AF5C29">
        <w:rPr>
          <w:color w:val="000000"/>
          <w:sz w:val="22"/>
          <w:szCs w:val="22"/>
        </w:rPr>
        <w:t xml:space="preserve"> </w:t>
      </w:r>
      <w:r w:rsidRPr="00AF5C29">
        <w:rPr>
          <w:color w:val="000000"/>
          <w:sz w:val="22"/>
          <w:szCs w:val="22"/>
        </w:rPr>
        <w:t>30</w:t>
      </w:r>
      <w:r w:rsidRPr="00F41C65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</w:t>
      </w:r>
      <w:r w:rsidRPr="00AF5C29">
        <w:rPr>
          <w:color w:val="000000"/>
          <w:sz w:val="22"/>
          <w:szCs w:val="22"/>
        </w:rPr>
        <w:t>June</w:t>
      </w:r>
      <w:r w:rsidR="00AF5C29" w:rsidRPr="00AF5C29">
        <w:rPr>
          <w:color w:val="000000"/>
          <w:sz w:val="22"/>
          <w:szCs w:val="22"/>
        </w:rPr>
        <w:t xml:space="preserve"> 2021</w:t>
      </w:r>
      <w:r>
        <w:rPr>
          <w:color w:val="000000"/>
          <w:sz w:val="22"/>
          <w:szCs w:val="22"/>
        </w:rPr>
        <w:t>.</w:t>
      </w:r>
      <w:r w:rsidR="0079771B">
        <w:rPr>
          <w:color w:val="000000"/>
          <w:sz w:val="22"/>
          <w:szCs w:val="22"/>
        </w:rPr>
        <w:t xml:space="preserve">   </w:t>
      </w:r>
    </w:p>
    <w:p w14:paraId="1F96862B" w14:textId="5ADD281F" w:rsidR="00AF5C29" w:rsidRPr="0079771B" w:rsidRDefault="00F41C65" w:rsidP="007977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79771B" w:rsidRPr="0079771B">
        <w:rPr>
          <w:color w:val="000000"/>
          <w:sz w:val="22"/>
          <w:szCs w:val="22"/>
        </w:rPr>
        <w:t xml:space="preserve">                                        </w:t>
      </w:r>
    </w:p>
    <w:p w14:paraId="318A008B" w14:textId="44BD44F2" w:rsidR="00AF5C29" w:rsidRPr="0079771B" w:rsidRDefault="00AF5C29" w:rsidP="005E1A04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40"/>
        <w:rPr>
          <w:color w:val="000000"/>
          <w:sz w:val="22"/>
          <w:szCs w:val="22"/>
        </w:rPr>
      </w:pPr>
      <w:r w:rsidRPr="00AF5C29">
        <w:rPr>
          <w:color w:val="000000"/>
          <w:sz w:val="22"/>
          <w:szCs w:val="22"/>
        </w:rPr>
        <w:t xml:space="preserve">Unless exceptional circumstances apply, EU/EEA and Swiss citizens risk becoming overstayers </w:t>
      </w:r>
      <w:r w:rsidR="00F41C65">
        <w:rPr>
          <w:color w:val="000000"/>
          <w:sz w:val="22"/>
          <w:szCs w:val="22"/>
        </w:rPr>
        <w:t xml:space="preserve">and </w:t>
      </w:r>
      <w:r w:rsidR="00F41C65">
        <w:rPr>
          <w:lang w:val="en-GB"/>
        </w:rPr>
        <w:t>are encouraged to apply before the deadline.</w:t>
      </w:r>
    </w:p>
    <w:p w14:paraId="5E09743C" w14:textId="37CA7D4C" w:rsidR="005E1A04" w:rsidRPr="008E7FCE" w:rsidRDefault="005E1A04" w:rsidP="005E1A04">
      <w:pPr>
        <w:rPr>
          <w:sz w:val="22"/>
          <w:szCs w:val="22"/>
          <w:lang w:val="en-GB"/>
        </w:rPr>
      </w:pPr>
      <w:r w:rsidRPr="008E7FCE">
        <w:rPr>
          <w:sz w:val="22"/>
          <w:szCs w:val="22"/>
          <w:lang w:val="en-GB"/>
        </w:rPr>
        <w:t>W</w:t>
      </w:r>
      <w:r w:rsidR="008E7FCE" w:rsidRPr="008E7FCE">
        <w:rPr>
          <w:sz w:val="22"/>
          <w:szCs w:val="22"/>
          <w:lang w:val="en-GB"/>
        </w:rPr>
        <w:t xml:space="preserve">e are </w:t>
      </w:r>
      <w:r w:rsidRPr="008E7FCE">
        <w:rPr>
          <w:sz w:val="22"/>
          <w:szCs w:val="22"/>
          <w:lang w:val="en-GB"/>
        </w:rPr>
        <w:t>in a position to assist with remaining applications, ID checks and clarifying status before the deadline.</w:t>
      </w:r>
    </w:p>
    <w:p w14:paraId="698212B8" w14:textId="3942601A" w:rsidR="00D31678" w:rsidRPr="008E7FCE" w:rsidRDefault="00D31678" w:rsidP="00D31678">
      <w:pPr>
        <w:pStyle w:val="xmsonormal"/>
        <w:shd w:val="clear" w:color="auto" w:fill="FFFFFF"/>
        <w:rPr>
          <w:color w:val="000000"/>
          <w:sz w:val="22"/>
          <w:szCs w:val="22"/>
        </w:rPr>
      </w:pPr>
    </w:p>
    <w:p w14:paraId="3E150F8F" w14:textId="77777777" w:rsidR="00D31678" w:rsidRPr="008E7FCE" w:rsidRDefault="00D31678" w:rsidP="00D31678">
      <w:pPr>
        <w:pStyle w:val="xmsonormal"/>
        <w:shd w:val="clear" w:color="auto" w:fill="FFFFFF"/>
        <w:rPr>
          <w:sz w:val="22"/>
          <w:szCs w:val="22"/>
          <w:lang w:val="en-GB"/>
        </w:rPr>
      </w:pPr>
      <w:r w:rsidRPr="008E7FCE">
        <w:rPr>
          <w:color w:val="000000"/>
          <w:sz w:val="22"/>
          <w:szCs w:val="22"/>
        </w:rPr>
        <w:t xml:space="preserve">This service is designed for individuals and immediate family members who are struggling to apply for status </w:t>
      </w:r>
      <w:r w:rsidRPr="008E7FCE">
        <w:rPr>
          <w:sz w:val="22"/>
          <w:szCs w:val="22"/>
          <w:lang w:val="en-GB"/>
        </w:rPr>
        <w:t>under the EU Settlement Scheme or have difficulty using the</w:t>
      </w:r>
      <w:r>
        <w:rPr>
          <w:rFonts w:ascii="Calibri" w:hAnsi="Calibri" w:cs="Calibri"/>
          <w:color w:val="000000"/>
        </w:rPr>
        <w:t xml:space="preserve"> </w:t>
      </w:r>
      <w:r w:rsidRPr="00D31678">
        <w:rPr>
          <w:rFonts w:ascii="Calibri" w:hAnsi="Calibri" w:cs="Calibri"/>
          <w:b/>
          <w:i/>
          <w:color w:val="000000"/>
        </w:rPr>
        <w:t>EU Exit: ID app</w:t>
      </w:r>
      <w:r>
        <w:rPr>
          <w:rFonts w:ascii="Calibri" w:hAnsi="Calibri" w:cs="Calibri"/>
          <w:color w:val="000000"/>
        </w:rPr>
        <w:t xml:space="preserve"> </w:t>
      </w:r>
      <w:r w:rsidRPr="008E7FCE">
        <w:rPr>
          <w:sz w:val="22"/>
          <w:szCs w:val="22"/>
          <w:lang w:val="en-GB"/>
        </w:rPr>
        <w:t>for reasons such as disability, including mental health issues, age including care home residence, being in care or a care leaver, difficulties relating to domestic abuse, modern slavery or trafficking, isolation, homelessness or being in transient accommodation. </w:t>
      </w:r>
    </w:p>
    <w:p w14:paraId="4902BE4F" w14:textId="77777777" w:rsidR="00D31678" w:rsidRPr="008E7FCE" w:rsidRDefault="00D31678" w:rsidP="00D31678">
      <w:pPr>
        <w:pStyle w:val="xmsonormal"/>
        <w:shd w:val="clear" w:color="auto" w:fill="FFFFFF"/>
        <w:rPr>
          <w:sz w:val="22"/>
          <w:szCs w:val="22"/>
          <w:lang w:val="en-GB"/>
        </w:rPr>
      </w:pPr>
      <w:r w:rsidRPr="008E7FCE">
        <w:rPr>
          <w:sz w:val="22"/>
          <w:szCs w:val="22"/>
          <w:lang w:val="en-GB"/>
        </w:rPr>
        <w:t> </w:t>
      </w:r>
    </w:p>
    <w:p w14:paraId="31A82959" w14:textId="1698717C" w:rsidR="0079771B" w:rsidRDefault="00D31678" w:rsidP="0079771B">
      <w:pPr>
        <w:pStyle w:val="xmsonormal"/>
        <w:shd w:val="clear" w:color="auto" w:fill="FFFFFF"/>
        <w:rPr>
          <w:sz w:val="22"/>
          <w:szCs w:val="22"/>
          <w:lang w:val="en-GB"/>
        </w:rPr>
      </w:pPr>
      <w:r w:rsidRPr="008E7FCE">
        <w:rPr>
          <w:sz w:val="22"/>
          <w:szCs w:val="22"/>
          <w:lang w:val="en-GB"/>
        </w:rPr>
        <w:t>Some of the issues in these cases may be more complex than they</w:t>
      </w:r>
      <w:r w:rsidR="00F2749F" w:rsidRPr="008E7FCE">
        <w:rPr>
          <w:sz w:val="22"/>
          <w:szCs w:val="22"/>
          <w:lang w:val="en-GB"/>
        </w:rPr>
        <w:t xml:space="preserve"> seem, and </w:t>
      </w:r>
      <w:r w:rsidR="006C4B57" w:rsidRPr="008E7FCE">
        <w:rPr>
          <w:sz w:val="22"/>
          <w:szCs w:val="22"/>
          <w:lang w:val="en-GB"/>
        </w:rPr>
        <w:t xml:space="preserve">require </w:t>
      </w:r>
      <w:r w:rsidRPr="008E7FCE">
        <w:rPr>
          <w:sz w:val="22"/>
          <w:szCs w:val="22"/>
          <w:lang w:val="en-GB"/>
        </w:rPr>
        <w:t>further investigation and advice</w:t>
      </w:r>
      <w:r w:rsidR="006C4B57" w:rsidRPr="008E7FCE">
        <w:rPr>
          <w:sz w:val="22"/>
          <w:szCs w:val="22"/>
          <w:lang w:val="en-GB"/>
        </w:rPr>
        <w:t xml:space="preserve">. These issues can </w:t>
      </w:r>
      <w:r w:rsidR="00F2749F" w:rsidRPr="008E7FCE">
        <w:rPr>
          <w:sz w:val="22"/>
          <w:szCs w:val="22"/>
          <w:lang w:val="en-GB"/>
        </w:rPr>
        <w:t xml:space="preserve">include </w:t>
      </w:r>
      <w:r w:rsidRPr="008E7FCE">
        <w:rPr>
          <w:sz w:val="22"/>
          <w:szCs w:val="22"/>
          <w:lang w:val="en-GB"/>
        </w:rPr>
        <w:t xml:space="preserve">uncertainty about nationality, </w:t>
      </w:r>
      <w:r w:rsidR="00646FB5" w:rsidRPr="008E7FCE">
        <w:rPr>
          <w:sz w:val="22"/>
          <w:szCs w:val="22"/>
          <w:lang w:val="en-GB"/>
        </w:rPr>
        <w:t>refusal of status under the EU Settlement</w:t>
      </w:r>
      <w:r w:rsidRPr="008E7FCE">
        <w:rPr>
          <w:sz w:val="22"/>
          <w:szCs w:val="22"/>
          <w:lang w:val="en-GB"/>
        </w:rPr>
        <w:t xml:space="preserve"> scheme, criminal convictions, situations where ID or evidence of residence is not easily obtainable, where the </w:t>
      </w:r>
      <w:r w:rsidR="00BB765C">
        <w:rPr>
          <w:sz w:val="22"/>
          <w:szCs w:val="22"/>
          <w:lang w:val="en-GB"/>
        </w:rPr>
        <w:t>a</w:t>
      </w:r>
      <w:r w:rsidR="00F41C65" w:rsidRPr="008E7FCE">
        <w:rPr>
          <w:sz w:val="22"/>
          <w:szCs w:val="22"/>
          <w:lang w:val="en-GB"/>
        </w:rPr>
        <w:t>pplicant</w:t>
      </w:r>
      <w:r w:rsidRPr="008E7FCE">
        <w:rPr>
          <w:sz w:val="22"/>
          <w:szCs w:val="22"/>
          <w:lang w:val="en-GB"/>
        </w:rPr>
        <w:t xml:space="preserve"> cares for an EU or UK child, or are a vulnerable family member.</w:t>
      </w:r>
      <w:r w:rsidR="0079771B">
        <w:rPr>
          <w:sz w:val="22"/>
          <w:szCs w:val="22"/>
          <w:lang w:val="en-GB"/>
        </w:rPr>
        <w:t xml:space="preserve"> </w:t>
      </w:r>
    </w:p>
    <w:p w14:paraId="155D11B6" w14:textId="77777777" w:rsidR="0079771B" w:rsidRDefault="0079771B" w:rsidP="0079771B">
      <w:pPr>
        <w:pStyle w:val="xmsonormal"/>
        <w:shd w:val="clear" w:color="auto" w:fill="FFFFFF"/>
        <w:rPr>
          <w:sz w:val="22"/>
          <w:szCs w:val="22"/>
          <w:lang w:val="en-GB"/>
        </w:rPr>
      </w:pPr>
    </w:p>
    <w:p w14:paraId="4D692C59" w14:textId="1B471194" w:rsidR="0079771B" w:rsidRDefault="0079771B" w:rsidP="0079771B">
      <w:pPr>
        <w:pStyle w:val="xmsonormal"/>
        <w:shd w:val="clear" w:color="auto" w:fill="FFFFFF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Advice is available for complex and non-complex cases.</w:t>
      </w:r>
    </w:p>
    <w:p w14:paraId="4F85E2C9" w14:textId="1C67991A" w:rsidR="00364D56" w:rsidRPr="0079771B" w:rsidRDefault="007333DD" w:rsidP="0079771B">
      <w:pPr>
        <w:pStyle w:val="xmsonormal"/>
        <w:shd w:val="clear" w:color="auto" w:fill="FFFFFF"/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333DD"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Initial enquiries &amp;</w:t>
      </w:r>
      <w:r w:rsidR="00D31678" w:rsidRPr="007333DD"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="00732BE9" w:rsidRPr="007333DD"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practical support</w:t>
      </w:r>
    </w:p>
    <w:p w14:paraId="4E9FA716" w14:textId="5E5A1ED8" w:rsidR="00364D56" w:rsidRPr="00364D56" w:rsidRDefault="007333DD" w:rsidP="00364D56">
      <w:pPr>
        <w:pStyle w:val="xmsonormal"/>
        <w:shd w:val="clear" w:color="auto" w:fill="FFFFFF"/>
        <w:ind w:left="1440"/>
        <w:rPr>
          <w:szCs w:val="22"/>
          <w:lang w:val="en-GB"/>
        </w:rPr>
      </w:pPr>
      <w:r w:rsidRPr="007333DD">
        <w:rPr>
          <w:szCs w:val="22"/>
          <w:lang w:val="en-GB"/>
        </w:rPr>
        <w:t>Please</w:t>
      </w:r>
      <w:r w:rsidR="00D31678" w:rsidRPr="007333DD">
        <w:rPr>
          <w:szCs w:val="22"/>
          <w:lang w:val="en-GB"/>
        </w:rPr>
        <w:t xml:space="preserve"> contact </w:t>
      </w:r>
    </w:p>
    <w:p w14:paraId="7A52A4B6" w14:textId="425E3EE7" w:rsidR="00364D56" w:rsidRPr="008E7FCE" w:rsidRDefault="00D31678" w:rsidP="00364D56">
      <w:pPr>
        <w:pStyle w:val="xmsonormal"/>
        <w:shd w:val="clear" w:color="auto" w:fill="FFFFFF"/>
        <w:ind w:left="720"/>
        <w:rPr>
          <w:b/>
          <w:szCs w:val="22"/>
          <w:lang w:val="en-GB"/>
        </w:rPr>
      </w:pPr>
      <w:r w:rsidRPr="008E7FCE">
        <w:rPr>
          <w:b/>
          <w:szCs w:val="22"/>
          <w:lang w:val="en-GB"/>
        </w:rPr>
        <w:t xml:space="preserve">West London Equality Centre </w:t>
      </w:r>
    </w:p>
    <w:p w14:paraId="6F779F76" w14:textId="5B2D779D" w:rsidR="00364D56" w:rsidRDefault="00356A60" w:rsidP="00364D56">
      <w:pPr>
        <w:pStyle w:val="xmsonormal"/>
        <w:shd w:val="clear" w:color="auto" w:fill="FFFFFF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T: </w:t>
      </w:r>
      <w:r w:rsidR="00D31678">
        <w:rPr>
          <w:rFonts w:ascii="Calibri" w:hAnsi="Calibri" w:cs="Calibri"/>
          <w:color w:val="000000"/>
        </w:rPr>
        <w:t>08000564</w:t>
      </w:r>
      <w:r>
        <w:rPr>
          <w:rFonts w:ascii="Calibri" w:hAnsi="Calibri" w:cs="Calibri"/>
          <w:color w:val="000000"/>
        </w:rPr>
        <w:t xml:space="preserve">745 </w:t>
      </w:r>
      <w:r w:rsidR="00364D5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E: </w:t>
      </w:r>
      <w:hyperlink r:id="rId8" w:tgtFrame="_blank" w:history="1">
        <w:r w:rsidR="00D31678" w:rsidRPr="00364D56">
          <w:rPr>
            <w:rStyle w:val="Hyperlink"/>
            <w:rFonts w:ascii="Open Sans" w:hAnsi="Open Sans" w:cs="Calibri"/>
            <w:sz w:val="22"/>
            <w:szCs w:val="22"/>
            <w:shd w:val="clear" w:color="auto" w:fill="FFFFFF"/>
          </w:rPr>
          <w:t>EUSS@WLEC.NET</w:t>
        </w:r>
      </w:hyperlink>
      <w:r w:rsidR="00D31678">
        <w:rPr>
          <w:rFonts w:ascii="Calibri" w:hAnsi="Calibri" w:cs="Calibri"/>
          <w:color w:val="000000"/>
        </w:rPr>
        <w:t> </w:t>
      </w:r>
    </w:p>
    <w:p w14:paraId="123B6926" w14:textId="2B657CF5" w:rsidR="00D31678" w:rsidRPr="008E7FCE" w:rsidRDefault="00356A60" w:rsidP="007333DD">
      <w:pPr>
        <w:pStyle w:val="xmsonormal"/>
        <w:shd w:val="clear" w:color="auto" w:fill="FFFFFF"/>
        <w:ind w:left="720"/>
        <w:rPr>
          <w:color w:val="000000"/>
          <w:sz w:val="22"/>
          <w:szCs w:val="22"/>
        </w:rPr>
      </w:pPr>
      <w:r w:rsidRPr="008E7FCE">
        <w:rPr>
          <w:color w:val="000000"/>
          <w:sz w:val="22"/>
          <w:szCs w:val="22"/>
        </w:rPr>
        <w:t>(If necessary</w:t>
      </w:r>
      <w:r w:rsidR="00D31678" w:rsidRPr="008E7FCE">
        <w:rPr>
          <w:color w:val="000000"/>
          <w:sz w:val="22"/>
          <w:szCs w:val="22"/>
        </w:rPr>
        <w:t xml:space="preserve"> </w:t>
      </w:r>
      <w:r w:rsidRPr="008E7FCE">
        <w:rPr>
          <w:color w:val="000000"/>
          <w:sz w:val="22"/>
          <w:szCs w:val="22"/>
        </w:rPr>
        <w:t xml:space="preserve">we will refer </w:t>
      </w:r>
      <w:r w:rsidR="00D31678" w:rsidRPr="008E7FCE">
        <w:rPr>
          <w:color w:val="000000"/>
          <w:sz w:val="22"/>
          <w:szCs w:val="22"/>
        </w:rPr>
        <w:t>to Ealing Law Centre or Hammersmith Law Centre for full casework.</w:t>
      </w:r>
      <w:r w:rsidRPr="008E7FCE">
        <w:rPr>
          <w:color w:val="000000"/>
          <w:sz w:val="22"/>
          <w:szCs w:val="22"/>
        </w:rPr>
        <w:t>)</w:t>
      </w:r>
    </w:p>
    <w:p w14:paraId="3FA6F048" w14:textId="77777777" w:rsidR="008E7FCE" w:rsidRDefault="008E7FCE" w:rsidP="00D31678">
      <w:pPr>
        <w:pStyle w:val="xmsonormal"/>
        <w:shd w:val="clear" w:color="auto" w:fill="FFFFFF"/>
        <w:rPr>
          <w:rFonts w:ascii="Calibri" w:hAnsi="Calibri" w:cs="Calibri"/>
          <w:color w:val="000000"/>
        </w:rPr>
      </w:pPr>
    </w:p>
    <w:p w14:paraId="3D52CCF1" w14:textId="600FA103" w:rsidR="007333DD" w:rsidRPr="007333DD" w:rsidRDefault="007333DD" w:rsidP="007333DD">
      <w:pPr>
        <w:pStyle w:val="xmsonormal"/>
        <w:shd w:val="clear" w:color="auto" w:fill="FFFFFF"/>
        <w:jc w:val="center"/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333DD"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Complex Cases</w:t>
      </w:r>
    </w:p>
    <w:p w14:paraId="3BA5AD2F" w14:textId="4717F4BA" w:rsidR="008E7FCE" w:rsidRPr="007333DD" w:rsidRDefault="008E7FCE" w:rsidP="007333DD">
      <w:pPr>
        <w:pStyle w:val="xmsonormal"/>
        <w:shd w:val="clear" w:color="auto" w:fill="FFFFFF"/>
        <w:ind w:left="360"/>
        <w:rPr>
          <w:color w:val="000000"/>
          <w:sz w:val="22"/>
          <w:szCs w:val="22"/>
        </w:rPr>
      </w:pPr>
      <w:r w:rsidRPr="008E7FCE">
        <w:rPr>
          <w:color w:val="000000"/>
          <w:sz w:val="22"/>
          <w:szCs w:val="22"/>
        </w:rPr>
        <w:t xml:space="preserve">Individuals and families </w:t>
      </w:r>
      <w:r w:rsidRPr="008E7FCE">
        <w:rPr>
          <w:b/>
          <w:color w:val="000000"/>
          <w:sz w:val="22"/>
          <w:szCs w:val="22"/>
        </w:rPr>
        <w:t>with complex issues</w:t>
      </w:r>
      <w:r w:rsidR="007333DD">
        <w:rPr>
          <w:b/>
          <w:color w:val="000000"/>
          <w:sz w:val="22"/>
          <w:szCs w:val="22"/>
        </w:rPr>
        <w:t xml:space="preserve"> </w:t>
      </w:r>
      <w:r w:rsidR="007333DD" w:rsidRPr="007333DD">
        <w:rPr>
          <w:color w:val="000000"/>
          <w:sz w:val="22"/>
          <w:szCs w:val="22"/>
        </w:rPr>
        <w:t xml:space="preserve">and </w:t>
      </w:r>
      <w:r w:rsidRPr="008E7FCE">
        <w:rPr>
          <w:b/>
          <w:color w:val="000000"/>
          <w:sz w:val="22"/>
          <w:szCs w:val="22"/>
        </w:rPr>
        <w:t>organisations assisting with complex cases</w:t>
      </w:r>
      <w:r w:rsidRPr="008E7FCE">
        <w:rPr>
          <w:color w:val="000000"/>
          <w:sz w:val="22"/>
          <w:szCs w:val="22"/>
        </w:rPr>
        <w:t xml:space="preserve"> are requested to contact</w:t>
      </w:r>
      <w:r>
        <w:rPr>
          <w:rFonts w:ascii="Calibri" w:hAnsi="Calibri" w:cs="Calibri"/>
          <w:color w:val="000000"/>
        </w:rPr>
        <w:t>;</w:t>
      </w:r>
    </w:p>
    <w:p w14:paraId="5DF1B659" w14:textId="77777777" w:rsidR="008E7FCE" w:rsidRDefault="008E7FCE" w:rsidP="008E7FCE">
      <w:pPr>
        <w:pStyle w:val="xmsonormal"/>
        <w:shd w:val="clear" w:color="auto" w:fill="FFFFFF"/>
        <w:rPr>
          <w:rFonts w:ascii="Calibri" w:hAnsi="Calibri" w:cs="Calibri"/>
          <w:color w:val="000000"/>
        </w:rPr>
      </w:pPr>
    </w:p>
    <w:p w14:paraId="19BA492C" w14:textId="03353520" w:rsidR="00364D56" w:rsidRPr="00364D56" w:rsidRDefault="008E7FCE" w:rsidP="00364D56">
      <w:pPr>
        <w:pStyle w:val="xmsonormal"/>
        <w:numPr>
          <w:ilvl w:val="0"/>
          <w:numId w:val="3"/>
        </w:numPr>
        <w:shd w:val="clear" w:color="auto" w:fill="FFFFFF"/>
        <w:rPr>
          <w:rFonts w:ascii="Calibri" w:hAnsi="Calibri" w:cs="Calibri"/>
          <w:b/>
          <w:color w:val="000000"/>
        </w:rPr>
      </w:pPr>
      <w:r w:rsidRPr="00732BE9">
        <w:rPr>
          <w:rFonts w:ascii="Calibri" w:hAnsi="Calibri" w:cs="Calibri"/>
          <w:b/>
          <w:color w:val="000000"/>
        </w:rPr>
        <w:t xml:space="preserve">Ealing Law Centre </w:t>
      </w:r>
    </w:p>
    <w:p w14:paraId="1FB8C27A" w14:textId="77777777" w:rsidR="00364D56" w:rsidRDefault="008E7FCE" w:rsidP="007333DD">
      <w:pPr>
        <w:pStyle w:val="xmsonormal"/>
        <w:shd w:val="clear" w:color="auto" w:fill="FFFFFF"/>
        <w:ind w:left="720"/>
        <w:rPr>
          <w:color w:val="000000"/>
          <w:sz w:val="22"/>
          <w:szCs w:val="22"/>
        </w:rPr>
      </w:pPr>
      <w:r w:rsidRPr="002F03E3">
        <w:rPr>
          <w:color w:val="000000"/>
          <w:sz w:val="22"/>
          <w:szCs w:val="22"/>
        </w:rPr>
        <w:t xml:space="preserve">T: 020 8579 4598 &amp; </w:t>
      </w:r>
    </w:p>
    <w:p w14:paraId="57191CF0" w14:textId="5152EDAD" w:rsidR="008E7FCE" w:rsidRPr="002F03E3" w:rsidRDefault="00373367" w:rsidP="007333DD">
      <w:pPr>
        <w:pStyle w:val="xmsonormal"/>
        <w:shd w:val="clear" w:color="auto" w:fill="FFFFFF"/>
        <w:ind w:left="720"/>
        <w:rPr>
          <w:color w:val="000000"/>
          <w:sz w:val="22"/>
          <w:szCs w:val="22"/>
        </w:rPr>
      </w:pPr>
      <w:r w:rsidRPr="002F03E3">
        <w:rPr>
          <w:color w:val="000000"/>
          <w:sz w:val="22"/>
          <w:szCs w:val="22"/>
        </w:rPr>
        <w:t>Choose</w:t>
      </w:r>
      <w:r w:rsidR="008E7FCE" w:rsidRPr="002F03E3">
        <w:rPr>
          <w:color w:val="000000"/>
          <w:sz w:val="22"/>
          <w:szCs w:val="22"/>
        </w:rPr>
        <w:t xml:space="preserve"> the immigration option </w:t>
      </w:r>
    </w:p>
    <w:p w14:paraId="7978191F" w14:textId="77777777" w:rsidR="008E7FCE" w:rsidRDefault="008E7FCE" w:rsidP="007333DD">
      <w:pPr>
        <w:pStyle w:val="xmsonormal"/>
        <w:shd w:val="clear" w:color="auto" w:fill="FFFFFF"/>
        <w:ind w:left="720"/>
        <w:rPr>
          <w:rFonts w:ascii="Calibri" w:hAnsi="Calibri" w:cs="Calibri"/>
          <w:color w:val="000000"/>
        </w:rPr>
      </w:pPr>
      <w:r w:rsidRPr="002F03E3">
        <w:rPr>
          <w:color w:val="000000"/>
          <w:sz w:val="22"/>
          <w:szCs w:val="22"/>
        </w:rPr>
        <w:t>E:</w:t>
      </w:r>
      <w:r>
        <w:rPr>
          <w:rFonts w:ascii="Calibri" w:hAnsi="Calibri" w:cs="Calibri"/>
          <w:color w:val="000000"/>
        </w:rPr>
        <w:t xml:space="preserve">  </w:t>
      </w:r>
      <w:hyperlink r:id="rId9" w:tgtFrame="_blank" w:history="1">
        <w:r w:rsidRPr="008E7FCE">
          <w:rPr>
            <w:rStyle w:val="Hyperlink"/>
            <w:rFonts w:ascii="Open Sans" w:hAnsi="Open Sans" w:cs="Calibri"/>
            <w:sz w:val="22"/>
            <w:szCs w:val="22"/>
            <w:shd w:val="clear" w:color="auto" w:fill="FFFFFF"/>
          </w:rPr>
          <w:t>info@ealinglaw.org.uk</w:t>
        </w:r>
      </w:hyperlink>
      <w:r>
        <w:rPr>
          <w:rFonts w:ascii="Calibri" w:hAnsi="Calibri" w:cs="Calibri"/>
          <w:color w:val="000000"/>
        </w:rPr>
        <w:t> or</w:t>
      </w:r>
    </w:p>
    <w:p w14:paraId="771C74D0" w14:textId="77777777" w:rsidR="00364D56" w:rsidRDefault="00364D56" w:rsidP="00364D56">
      <w:pPr>
        <w:pStyle w:val="xmsonormal"/>
        <w:shd w:val="clear" w:color="auto" w:fill="FFFFFF"/>
        <w:ind w:left="720"/>
        <w:rPr>
          <w:color w:val="000000"/>
          <w:sz w:val="22"/>
          <w:szCs w:val="22"/>
        </w:rPr>
      </w:pPr>
    </w:p>
    <w:p w14:paraId="3F367F72" w14:textId="39E3E6DD" w:rsidR="008E7FCE" w:rsidRPr="00364D56" w:rsidRDefault="008E7FCE" w:rsidP="00364D56">
      <w:pPr>
        <w:pStyle w:val="xmsonormal"/>
        <w:shd w:val="clear" w:color="auto" w:fill="FFFFFF"/>
        <w:ind w:left="720"/>
        <w:rPr>
          <w:color w:val="000000"/>
          <w:sz w:val="22"/>
          <w:szCs w:val="22"/>
        </w:rPr>
      </w:pPr>
      <w:r w:rsidRPr="008E7FCE">
        <w:rPr>
          <w:color w:val="000000"/>
          <w:sz w:val="22"/>
          <w:szCs w:val="22"/>
        </w:rPr>
        <w:t>Visit the website and request help by using this link</w:t>
      </w:r>
      <w:r w:rsidR="00364D56">
        <w:rPr>
          <w:color w:val="000000"/>
          <w:sz w:val="22"/>
          <w:szCs w:val="22"/>
        </w:rPr>
        <w:t xml:space="preserve"> </w:t>
      </w:r>
      <w:hyperlink r:id="rId10" w:tgtFrame="_blank" w:tooltip="Original URL: https://ealinglawcentre.org.uk/eu-settlement-scheme/. Click or tap if you trust this link." w:history="1">
        <w:r w:rsidRPr="00364D56">
          <w:rPr>
            <w:rStyle w:val="Hyperlink"/>
            <w:rFonts w:ascii="Calibri" w:hAnsi="Calibri" w:cs="Calibri"/>
            <w:color w:val="7030A0"/>
          </w:rPr>
          <w:t>https://ealinglawcentre.org.uk/eu-settlement-scheme/</w:t>
        </w:r>
      </w:hyperlink>
      <w:r w:rsidRPr="00364D56">
        <w:rPr>
          <w:rStyle w:val="Hyperlink"/>
          <w:color w:val="7030A0"/>
        </w:rPr>
        <w:t>.</w:t>
      </w:r>
      <w:r w:rsidRPr="00364D56">
        <w:rPr>
          <w:rFonts w:ascii="Calibri" w:hAnsi="Calibri" w:cs="Calibri"/>
          <w:color w:val="7030A0"/>
        </w:rPr>
        <w:t> </w:t>
      </w:r>
    </w:p>
    <w:p w14:paraId="28C400A6" w14:textId="77777777" w:rsidR="008E7FCE" w:rsidRDefault="008E7FCE" w:rsidP="008E7FCE">
      <w:pPr>
        <w:pStyle w:val="xmsonormal"/>
        <w:shd w:val="clear" w:color="auto" w:fill="FFFFFF"/>
        <w:rPr>
          <w:color w:val="201F1E"/>
        </w:rPr>
      </w:pPr>
    </w:p>
    <w:p w14:paraId="1A95EF55" w14:textId="4FA0598B" w:rsidR="00364D56" w:rsidRPr="00364D56" w:rsidRDefault="008E7FCE" w:rsidP="00364D56">
      <w:pPr>
        <w:pStyle w:val="xmsonormal"/>
        <w:numPr>
          <w:ilvl w:val="0"/>
          <w:numId w:val="3"/>
        </w:numPr>
        <w:shd w:val="clear" w:color="auto" w:fill="FFFFFF"/>
        <w:rPr>
          <w:rFonts w:ascii="Calibri" w:hAnsi="Calibri" w:cs="Calibri"/>
          <w:b/>
          <w:color w:val="000000"/>
        </w:rPr>
      </w:pPr>
      <w:r w:rsidRPr="00732BE9">
        <w:rPr>
          <w:rFonts w:ascii="Calibri" w:hAnsi="Calibri" w:cs="Calibri"/>
          <w:b/>
          <w:color w:val="000000"/>
        </w:rPr>
        <w:t>Hammersmith and Fulham Law Centre</w:t>
      </w:r>
    </w:p>
    <w:p w14:paraId="421CAA9A" w14:textId="77777777" w:rsidR="008E7FCE" w:rsidRPr="002F03E3" w:rsidRDefault="008E7FCE" w:rsidP="007333DD">
      <w:pPr>
        <w:pStyle w:val="xmsonormal"/>
        <w:shd w:val="clear" w:color="auto" w:fill="FFFFFF"/>
        <w:ind w:left="720"/>
        <w:rPr>
          <w:sz w:val="22"/>
          <w:szCs w:val="22"/>
          <w:lang w:val="en-GB"/>
        </w:rPr>
      </w:pPr>
      <w:r w:rsidRPr="002F03E3">
        <w:rPr>
          <w:sz w:val="22"/>
          <w:szCs w:val="22"/>
          <w:lang w:val="en-GB"/>
        </w:rPr>
        <w:t xml:space="preserve">T: 020 3880 1727 </w:t>
      </w:r>
    </w:p>
    <w:p w14:paraId="60C9BF38" w14:textId="77777777" w:rsidR="008E7FCE" w:rsidRDefault="008E7FCE" w:rsidP="007333DD">
      <w:pPr>
        <w:pStyle w:val="xmsonormal"/>
        <w:shd w:val="clear" w:color="auto" w:fill="FFFFFF"/>
        <w:ind w:left="720"/>
        <w:rPr>
          <w:rFonts w:ascii="Open Sans" w:hAnsi="Open Sans" w:cs="Calibri"/>
          <w:color w:val="555555"/>
          <w:sz w:val="22"/>
          <w:szCs w:val="22"/>
          <w:shd w:val="clear" w:color="auto" w:fill="FFFFFF"/>
        </w:rPr>
      </w:pPr>
      <w:r w:rsidRPr="002F03E3">
        <w:rPr>
          <w:sz w:val="22"/>
          <w:szCs w:val="22"/>
          <w:lang w:val="en-GB"/>
        </w:rPr>
        <w:t>E:</w:t>
      </w:r>
      <w:r>
        <w:rPr>
          <w:rFonts w:ascii="Open Sans" w:hAnsi="Open Sans" w:cs="Calibri"/>
          <w:color w:val="555555"/>
          <w:sz w:val="22"/>
          <w:szCs w:val="22"/>
          <w:shd w:val="clear" w:color="auto" w:fill="FFFFFF"/>
        </w:rPr>
        <w:t xml:space="preserve">  </w:t>
      </w:r>
      <w:hyperlink r:id="rId11" w:history="1">
        <w:r>
          <w:rPr>
            <w:rStyle w:val="Hyperlink"/>
            <w:rFonts w:ascii="Open Sans" w:hAnsi="Open Sans" w:cs="Calibri"/>
            <w:sz w:val="22"/>
            <w:szCs w:val="22"/>
            <w:shd w:val="clear" w:color="auto" w:fill="FFFFFF"/>
          </w:rPr>
          <w:t>immigration@hflaw.org.uk</w:t>
        </w:r>
      </w:hyperlink>
      <w:r>
        <w:rPr>
          <w:rFonts w:ascii="Open Sans" w:hAnsi="Open Sans" w:cs="Calibri"/>
          <w:color w:val="555555"/>
          <w:sz w:val="22"/>
          <w:szCs w:val="22"/>
          <w:shd w:val="clear" w:color="auto" w:fill="FFFFFF"/>
        </w:rPr>
        <w:t>.or</w:t>
      </w:r>
    </w:p>
    <w:p w14:paraId="050B5B43" w14:textId="77777777" w:rsidR="00364D56" w:rsidRDefault="00364D56" w:rsidP="007333DD">
      <w:pPr>
        <w:pStyle w:val="xmsonormal"/>
        <w:shd w:val="clear" w:color="auto" w:fill="FFFFFF"/>
        <w:ind w:left="720"/>
        <w:rPr>
          <w:sz w:val="22"/>
          <w:szCs w:val="22"/>
          <w:lang w:val="en-GB"/>
        </w:rPr>
      </w:pPr>
    </w:p>
    <w:p w14:paraId="36B9C00E" w14:textId="737AD358" w:rsidR="008E7FCE" w:rsidRDefault="008E7FCE" w:rsidP="007333DD">
      <w:pPr>
        <w:pStyle w:val="xmsonormal"/>
        <w:shd w:val="clear" w:color="auto" w:fill="FFFFFF"/>
        <w:ind w:left="720"/>
      </w:pPr>
      <w:r w:rsidRPr="002F03E3">
        <w:rPr>
          <w:sz w:val="22"/>
          <w:szCs w:val="22"/>
          <w:lang w:val="en-GB"/>
        </w:rPr>
        <w:t>visit</w:t>
      </w:r>
      <w:r w:rsidR="00364D56">
        <w:rPr>
          <w:sz w:val="22"/>
          <w:szCs w:val="22"/>
          <w:lang w:val="en-GB"/>
        </w:rPr>
        <w:t xml:space="preserve"> </w:t>
      </w:r>
      <w:r w:rsidRPr="002F03E3">
        <w:rPr>
          <w:sz w:val="22"/>
          <w:szCs w:val="22"/>
          <w:lang w:val="en-GB"/>
        </w:rPr>
        <w:t>website</w:t>
      </w:r>
      <w:r>
        <w:rPr>
          <w:rFonts w:ascii="Calibri" w:hAnsi="Calibri" w:cs="Calibri"/>
          <w:color w:val="000000"/>
        </w:rPr>
        <w:t xml:space="preserve"> </w:t>
      </w:r>
      <w:hyperlink r:id="rId12" w:history="1">
        <w:r w:rsidRPr="00364D56">
          <w:rPr>
            <w:rStyle w:val="Hyperlink"/>
            <w:rFonts w:ascii="Calibri" w:hAnsi="Calibri" w:cs="Calibri"/>
            <w:color w:val="7030A0"/>
          </w:rPr>
          <w:t>http://hflaw.org.uk/</w:t>
        </w:r>
      </w:hyperlink>
      <w:r>
        <w:rPr>
          <w:rFonts w:ascii="Calibri" w:hAnsi="Calibri" w:cs="Calibri"/>
          <w:color w:val="000000"/>
        </w:rPr>
        <w:t xml:space="preserve"> </w:t>
      </w:r>
      <w:r w:rsidRPr="002F03E3">
        <w:rPr>
          <w:sz w:val="22"/>
          <w:szCs w:val="22"/>
          <w:lang w:val="en-GB"/>
        </w:rPr>
        <w:t>and go to</w:t>
      </w:r>
      <w:r>
        <w:rPr>
          <w:rFonts w:ascii="Calibri" w:hAnsi="Calibri" w:cs="Calibri"/>
          <w:color w:val="000000"/>
        </w:rPr>
        <w:t xml:space="preserve"> t</w:t>
      </w:r>
      <w:r w:rsidRPr="002F03E3">
        <w:rPr>
          <w:sz w:val="22"/>
          <w:szCs w:val="22"/>
          <w:lang w:val="en-GB"/>
        </w:rPr>
        <w:t xml:space="preserve">he contact  us page </w:t>
      </w:r>
      <w:hyperlink r:id="rId13" w:tgtFrame="_blank" w:tooltip="Original URL: http://hflaw.org.uk/contact-us/. Click or tap if you trust this link." w:history="1">
        <w:r w:rsidRPr="00364D56">
          <w:rPr>
            <w:rStyle w:val="Hyperlink"/>
            <w:rFonts w:ascii="Calibri" w:hAnsi="Calibri" w:cs="Calibri"/>
            <w:color w:val="7030A0"/>
          </w:rPr>
          <w:t>hflaw.org.uk/contact-us/</w:t>
        </w:r>
      </w:hyperlink>
      <w:r>
        <w:rPr>
          <w:rFonts w:ascii="Calibri" w:hAnsi="Calibri" w:cs="Calibri"/>
          <w:color w:val="000000"/>
        </w:rPr>
        <w:t> </w:t>
      </w:r>
    </w:p>
    <w:p w14:paraId="7C3F4B89" w14:textId="4A482D0F" w:rsidR="00356A60" w:rsidRPr="007333DD" w:rsidRDefault="008E7FCE" w:rsidP="00D31678">
      <w:pPr>
        <w:pStyle w:val="xmsonormal"/>
        <w:shd w:val="clear" w:color="auto" w:fill="FFFFFF"/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333DD"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 </w:t>
      </w:r>
    </w:p>
    <w:p w14:paraId="3C8EF165" w14:textId="44F3B2B0" w:rsidR="002F03E3" w:rsidRPr="007333DD" w:rsidRDefault="002F03E3" w:rsidP="007333DD">
      <w:pPr>
        <w:pStyle w:val="xmsonormal"/>
        <w:shd w:val="clear" w:color="auto" w:fill="FFFFFF"/>
        <w:jc w:val="center"/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333DD"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Support for local organisations </w:t>
      </w:r>
      <w:r w:rsidRPr="00364D56">
        <w:rPr>
          <w:rStyle w:val="Hyperlink"/>
          <w:rFonts w:ascii="Calibri" w:hAnsi="Calibri" w:cs="Calibri"/>
          <w:color w:val="7030A0"/>
        </w:rPr>
        <w:t>and</w:t>
      </w:r>
      <w:r w:rsidRPr="007333DD">
        <w:rPr>
          <w:sz w:val="28"/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groups</w:t>
      </w:r>
    </w:p>
    <w:p w14:paraId="4DC68519" w14:textId="77777777" w:rsidR="007333DD" w:rsidRDefault="00D31678" w:rsidP="007333DD">
      <w:pPr>
        <w:pStyle w:val="xmsonormal"/>
        <w:shd w:val="clear" w:color="auto" w:fill="FFFFFF"/>
        <w:jc w:val="center"/>
        <w:rPr>
          <w:color w:val="000000"/>
          <w:sz w:val="22"/>
          <w:szCs w:val="22"/>
        </w:rPr>
      </w:pPr>
      <w:r w:rsidRPr="002F03E3">
        <w:rPr>
          <w:color w:val="000000"/>
          <w:sz w:val="22"/>
          <w:szCs w:val="22"/>
        </w:rPr>
        <w:t>All three organisations are happy to present to</w:t>
      </w:r>
    </w:p>
    <w:p w14:paraId="6F44ED35" w14:textId="21A1BE7F" w:rsidR="0033617D" w:rsidRDefault="00D31678" w:rsidP="007333DD">
      <w:pPr>
        <w:pStyle w:val="xmsonormal"/>
        <w:shd w:val="clear" w:color="auto" w:fill="FFFFFF"/>
        <w:jc w:val="center"/>
        <w:rPr>
          <w:color w:val="000000"/>
          <w:sz w:val="22"/>
          <w:szCs w:val="22"/>
        </w:rPr>
      </w:pPr>
      <w:r w:rsidRPr="002F03E3">
        <w:rPr>
          <w:color w:val="000000"/>
          <w:sz w:val="22"/>
          <w:szCs w:val="22"/>
        </w:rPr>
        <w:t xml:space="preserve"> </w:t>
      </w:r>
      <w:r w:rsidR="00373367" w:rsidRPr="002F03E3">
        <w:rPr>
          <w:color w:val="000000"/>
          <w:sz w:val="22"/>
          <w:szCs w:val="22"/>
        </w:rPr>
        <w:t>Local</w:t>
      </w:r>
      <w:r w:rsidRPr="002F03E3">
        <w:rPr>
          <w:color w:val="000000"/>
          <w:sz w:val="22"/>
          <w:szCs w:val="22"/>
        </w:rPr>
        <w:t xml:space="preserve"> groups or organisations.</w:t>
      </w:r>
    </w:p>
    <w:p w14:paraId="41360729" w14:textId="77777777" w:rsidR="007333DD" w:rsidRPr="002F03E3" w:rsidRDefault="007333DD" w:rsidP="007333DD">
      <w:pPr>
        <w:pStyle w:val="xmsonormal"/>
        <w:shd w:val="clear" w:color="auto" w:fill="FFFFFF"/>
        <w:jc w:val="center"/>
        <w:rPr>
          <w:color w:val="000000"/>
          <w:sz w:val="22"/>
          <w:szCs w:val="22"/>
        </w:rPr>
      </w:pPr>
    </w:p>
    <w:p w14:paraId="68605EFB" w14:textId="1F270CCF" w:rsidR="0033617D" w:rsidRPr="00364D56" w:rsidRDefault="00BB765C" w:rsidP="007333DD">
      <w:pPr>
        <w:pStyle w:val="xmsonormal"/>
        <w:shd w:val="clear" w:color="auto" w:fill="FFFFFF"/>
        <w:jc w:val="center"/>
        <w:rPr>
          <w:rStyle w:val="Hyperlink"/>
          <w:rFonts w:ascii="Calibri" w:hAnsi="Calibri" w:cs="Calibri"/>
          <w:color w:val="7030A0"/>
        </w:rPr>
      </w:pPr>
      <w:hyperlink r:id="rId14" w:tgtFrame="_blank" w:tooltip="Original URL: https://ealinglawcentre.org.uk/. Click or tap if you trust this link." w:history="1">
        <w:r w:rsidR="0033617D" w:rsidRPr="00364D56">
          <w:rPr>
            <w:rStyle w:val="Hyperlink"/>
            <w:rFonts w:ascii="Calibri" w:hAnsi="Calibri" w:cs="Calibri"/>
            <w:color w:val="7030A0"/>
          </w:rPr>
          <w:t>https://ealinglawcentre.org.uk/</w:t>
        </w:r>
      </w:hyperlink>
    </w:p>
    <w:p w14:paraId="5428BC1E" w14:textId="77777777" w:rsidR="0033617D" w:rsidRPr="00364D56" w:rsidRDefault="00BB765C" w:rsidP="007333DD">
      <w:pPr>
        <w:pStyle w:val="xmsonormal"/>
        <w:shd w:val="clear" w:color="auto" w:fill="FFFFFF"/>
        <w:jc w:val="center"/>
        <w:rPr>
          <w:rStyle w:val="Hyperlink"/>
          <w:rFonts w:ascii="Calibri" w:hAnsi="Calibri" w:cs="Calibri"/>
          <w:color w:val="7030A0"/>
        </w:rPr>
      </w:pPr>
      <w:hyperlink r:id="rId15" w:tgtFrame="_blank" w:tooltip="Original URL: http://www.wlec.net/. Click or tap if you trust this link." w:history="1">
        <w:r w:rsidR="0033617D" w:rsidRPr="00364D56">
          <w:rPr>
            <w:rStyle w:val="Hyperlink"/>
            <w:rFonts w:ascii="Calibri" w:hAnsi="Calibri" w:cs="Calibri"/>
            <w:color w:val="7030A0"/>
          </w:rPr>
          <w:t>http://www.wlec.net/</w:t>
        </w:r>
      </w:hyperlink>
    </w:p>
    <w:p w14:paraId="39C5AB2F" w14:textId="77777777" w:rsidR="0033617D" w:rsidRPr="00364D56" w:rsidRDefault="00BB765C" w:rsidP="007333DD">
      <w:pPr>
        <w:pStyle w:val="xmsonormal"/>
        <w:shd w:val="clear" w:color="auto" w:fill="FFFFFF"/>
        <w:jc w:val="center"/>
        <w:rPr>
          <w:rStyle w:val="Hyperlink"/>
          <w:rFonts w:ascii="Calibri" w:hAnsi="Calibri" w:cs="Calibri"/>
          <w:color w:val="7030A0"/>
        </w:rPr>
      </w:pPr>
      <w:hyperlink r:id="rId16" w:tgtFrame="_blank" w:tooltip="Original URL: http://hflaw.org.uk/. Click or tap if you trust this link." w:history="1">
        <w:r w:rsidR="0033617D" w:rsidRPr="00364D56">
          <w:rPr>
            <w:rStyle w:val="Hyperlink"/>
            <w:rFonts w:ascii="Calibri" w:hAnsi="Calibri" w:cs="Calibri"/>
            <w:color w:val="7030A0"/>
          </w:rPr>
          <w:t>http://hflaw.org.uk/</w:t>
        </w:r>
      </w:hyperlink>
    </w:p>
    <w:p w14:paraId="47873875" w14:textId="77777777" w:rsidR="00356A60" w:rsidRDefault="00356A60" w:rsidP="007333DD">
      <w:pPr>
        <w:pStyle w:val="xmsonormal"/>
        <w:shd w:val="clear" w:color="auto" w:fill="FFFFFF"/>
        <w:jc w:val="center"/>
        <w:rPr>
          <w:rFonts w:ascii="Calibri" w:hAnsi="Calibri" w:cs="Calibri"/>
          <w:color w:val="000000"/>
        </w:rPr>
      </w:pPr>
    </w:p>
    <w:p w14:paraId="6C2DFFAC" w14:textId="351D46E4" w:rsidR="007333DD" w:rsidRPr="007333DD" w:rsidRDefault="00356A60" w:rsidP="00364D56">
      <w:pPr>
        <w:pStyle w:val="xmsonormal"/>
        <w:shd w:val="clear" w:color="auto" w:fill="FFFFFF"/>
        <w:jc w:val="center"/>
        <w:rPr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333DD">
        <w:rPr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For general service</w:t>
      </w:r>
      <w:r w:rsidR="0033617D" w:rsidRPr="007333DD">
        <w:rPr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&amp;</w:t>
      </w:r>
      <w:r w:rsidRPr="007333DD">
        <w:rPr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="00BB765C">
        <w:rPr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</w:t>
      </w:r>
      <w:r w:rsidRPr="007333DD">
        <w:rPr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ress enquiries </w:t>
      </w:r>
      <w:r w:rsidR="00732BE9" w:rsidRPr="007333DD">
        <w:rPr>
          <w:szCs w:val="22"/>
          <w:lang w:val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contact:</w:t>
      </w:r>
    </w:p>
    <w:p w14:paraId="3232DCAB" w14:textId="22F8A623" w:rsidR="00732BE9" w:rsidRPr="002F03E3" w:rsidRDefault="00356A60" w:rsidP="00364D56">
      <w:pPr>
        <w:pStyle w:val="xmsonormal"/>
        <w:shd w:val="clear" w:color="auto" w:fill="FFFFFF"/>
        <w:jc w:val="center"/>
        <w:rPr>
          <w:sz w:val="22"/>
          <w:szCs w:val="22"/>
          <w:lang w:val="en-GB"/>
        </w:rPr>
      </w:pPr>
      <w:r w:rsidRPr="002F03E3">
        <w:rPr>
          <w:sz w:val="22"/>
          <w:szCs w:val="22"/>
          <w:lang w:val="en-GB"/>
        </w:rPr>
        <w:t>Ealing Law Centre</w:t>
      </w:r>
      <w:bookmarkStart w:id="0" w:name="_GoBack"/>
      <w:bookmarkEnd w:id="0"/>
    </w:p>
    <w:p w14:paraId="7554ACC4" w14:textId="380A43A3" w:rsidR="00356A60" w:rsidRPr="002F03E3" w:rsidRDefault="008E7FCE" w:rsidP="00364D56">
      <w:pPr>
        <w:pStyle w:val="xmsonormal"/>
        <w:shd w:val="clear" w:color="auto" w:fill="FFFFFF"/>
        <w:jc w:val="center"/>
        <w:rPr>
          <w:sz w:val="22"/>
          <w:szCs w:val="22"/>
          <w:lang w:val="en-GB"/>
        </w:rPr>
      </w:pPr>
      <w:r w:rsidRPr="002F03E3">
        <w:rPr>
          <w:sz w:val="22"/>
          <w:szCs w:val="22"/>
          <w:lang w:val="en-GB"/>
        </w:rPr>
        <w:t>Lalit Joshi, T:</w:t>
      </w:r>
      <w:r w:rsidR="00732BE9" w:rsidRPr="002F03E3">
        <w:rPr>
          <w:sz w:val="22"/>
          <w:szCs w:val="22"/>
          <w:lang w:val="en-GB"/>
        </w:rPr>
        <w:t xml:space="preserve"> </w:t>
      </w:r>
      <w:r w:rsidR="00356A60" w:rsidRPr="002F03E3">
        <w:rPr>
          <w:sz w:val="22"/>
          <w:szCs w:val="22"/>
          <w:lang w:val="en-GB"/>
        </w:rPr>
        <w:t>020 8579 4598</w:t>
      </w:r>
    </w:p>
    <w:p w14:paraId="4859F898" w14:textId="77777777" w:rsidR="00732BE9" w:rsidRPr="002F03E3" w:rsidRDefault="00732BE9" w:rsidP="00364D56">
      <w:pPr>
        <w:pStyle w:val="xmsonormal"/>
        <w:shd w:val="clear" w:color="auto" w:fill="FFFFFF"/>
        <w:jc w:val="center"/>
        <w:rPr>
          <w:sz w:val="22"/>
          <w:szCs w:val="22"/>
          <w:lang w:val="en-GB"/>
        </w:rPr>
      </w:pPr>
    </w:p>
    <w:p w14:paraId="3823119B" w14:textId="7CD1A385" w:rsidR="0033617D" w:rsidRPr="002F03E3" w:rsidRDefault="00356A60" w:rsidP="00364D56">
      <w:pPr>
        <w:pStyle w:val="xmsonormal"/>
        <w:shd w:val="clear" w:color="auto" w:fill="FFFFFF"/>
        <w:jc w:val="center"/>
        <w:rPr>
          <w:sz w:val="22"/>
          <w:szCs w:val="22"/>
          <w:lang w:val="en-GB"/>
        </w:rPr>
      </w:pPr>
      <w:r w:rsidRPr="002F03E3">
        <w:rPr>
          <w:sz w:val="22"/>
          <w:szCs w:val="22"/>
          <w:lang w:val="en-GB"/>
        </w:rPr>
        <w:t>West London Equality Centre</w:t>
      </w:r>
    </w:p>
    <w:p w14:paraId="3DFBCA97" w14:textId="117B2752" w:rsidR="00356A60" w:rsidRPr="002F03E3" w:rsidRDefault="008E7FCE" w:rsidP="00364D56">
      <w:pPr>
        <w:pStyle w:val="xmsonormal"/>
        <w:shd w:val="clear" w:color="auto" w:fill="FFFFFF"/>
        <w:jc w:val="center"/>
        <w:rPr>
          <w:sz w:val="22"/>
          <w:szCs w:val="22"/>
          <w:lang w:val="en-GB"/>
        </w:rPr>
      </w:pPr>
      <w:r w:rsidRPr="002F03E3">
        <w:rPr>
          <w:sz w:val="22"/>
          <w:szCs w:val="22"/>
          <w:lang w:val="en-GB"/>
        </w:rPr>
        <w:t>Barbara Karayi, T</w:t>
      </w:r>
      <w:r w:rsidR="00732BE9" w:rsidRPr="002F03E3">
        <w:rPr>
          <w:sz w:val="22"/>
          <w:szCs w:val="22"/>
          <w:lang w:val="en-GB"/>
        </w:rPr>
        <w:t xml:space="preserve">: </w:t>
      </w:r>
      <w:r w:rsidR="00356A60" w:rsidRPr="002F03E3">
        <w:rPr>
          <w:sz w:val="22"/>
          <w:szCs w:val="22"/>
          <w:lang w:val="en-GB"/>
        </w:rPr>
        <w:t>07944 643899.</w:t>
      </w:r>
    </w:p>
    <w:p w14:paraId="3F2D0FAB" w14:textId="77777777" w:rsidR="00D10CC4" w:rsidRDefault="00D10CC4" w:rsidP="00D31678">
      <w:pPr>
        <w:pStyle w:val="xmsonormal"/>
        <w:shd w:val="clear" w:color="auto" w:fill="FFFFFF"/>
        <w:rPr>
          <w:rStyle w:val="Hyperlink"/>
          <w:rFonts w:ascii="Calibri" w:hAnsi="Calibri" w:cs="Calibri"/>
          <w:color w:val="800080"/>
        </w:rPr>
      </w:pPr>
    </w:p>
    <w:sectPr w:rsidR="00D10CC4" w:rsidSect="00373367">
      <w:headerReference w:type="default" r:id="rId17"/>
      <w:footerReference w:type="default" r:id="rId18"/>
      <w:pgSz w:w="12240" w:h="15840"/>
      <w:pgMar w:top="720" w:right="720" w:bottom="720" w:left="720" w:header="28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485D4" w14:textId="77777777" w:rsidR="0033617D" w:rsidRDefault="0033617D" w:rsidP="0033617D">
      <w:r>
        <w:separator/>
      </w:r>
    </w:p>
  </w:endnote>
  <w:endnote w:type="continuationSeparator" w:id="0">
    <w:p w14:paraId="692886FC" w14:textId="77777777" w:rsidR="0033617D" w:rsidRDefault="0033617D" w:rsidP="0033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4B9A" w14:textId="784CC172" w:rsidR="002F03E3" w:rsidRDefault="00D2097D">
    <w:pPr>
      <w:pStyle w:val="Footer"/>
    </w:pPr>
    <w:r>
      <w:rPr>
        <w:noProof/>
      </w:rPr>
      <w:drawing>
        <wp:inline distT="0" distB="0" distL="0" distR="0" wp14:anchorId="0F50B470" wp14:editId="2626F718">
          <wp:extent cx="714375" cy="3238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C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73" cy="350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noProof/>
        <w:color w:val="000000"/>
      </w:rPr>
      <w:drawing>
        <wp:inline distT="0" distB="0" distL="0" distR="0" wp14:anchorId="339A41CB" wp14:editId="255174F3">
          <wp:extent cx="333375" cy="285750"/>
          <wp:effectExtent l="0" t="0" r="9525" b="0"/>
          <wp:docPr id="1" name="Picture 1" descr="cid:1ad749dd-cf81-4f96-b6d5-b62f940f6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ad749dd-cf81-4f96-b6d5-b62f940f6137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333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C29">
      <w:t xml:space="preserve"> </w:t>
    </w:r>
    <w:r>
      <w:rPr>
        <w:noProof/>
      </w:rPr>
      <w:drawing>
        <wp:inline distT="0" distB="0" distL="0" distR="0" wp14:anchorId="7C3914E0" wp14:editId="5ED6FA4A">
          <wp:extent cx="1061085" cy="32893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A2AC34" w14:textId="6F00C317" w:rsidR="002F03E3" w:rsidRDefault="002F0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DB11E" w14:textId="77777777" w:rsidR="0033617D" w:rsidRDefault="0033617D" w:rsidP="0033617D">
      <w:r>
        <w:separator/>
      </w:r>
    </w:p>
  </w:footnote>
  <w:footnote w:type="continuationSeparator" w:id="0">
    <w:p w14:paraId="581EDB68" w14:textId="77777777" w:rsidR="0033617D" w:rsidRDefault="0033617D" w:rsidP="00336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CBA98" w14:textId="203F275F" w:rsidR="007333DD" w:rsidRDefault="00364D56" w:rsidP="00364D56">
    <w:pPr>
      <w:pStyle w:val="Header"/>
      <w:rPr>
        <w:rFonts w:ascii="Calibri" w:hAnsi="Calibri" w:cs="Calibri"/>
        <w:color w:val="000000"/>
      </w:rPr>
    </w:pPr>
    <w:r>
      <w:rPr>
        <w:noProof/>
      </w:rPr>
      <w:drawing>
        <wp:inline distT="0" distB="0" distL="0" distR="0" wp14:anchorId="74A5FBA3" wp14:editId="540D318A">
          <wp:extent cx="933450" cy="42316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C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929" cy="461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color w:val="000000"/>
      </w:rPr>
      <w:t xml:space="preserve">                                                          </w:t>
    </w:r>
    <w:r w:rsidRPr="00373367">
      <w:rPr>
        <w:b/>
        <w:bCs/>
        <w:color w:val="000000"/>
      </w:rPr>
      <w:t>Ealing Law Centre</w:t>
    </w:r>
  </w:p>
  <w:p w14:paraId="28E53606" w14:textId="4CFF4CDE" w:rsidR="007333DD" w:rsidRPr="00373367" w:rsidRDefault="0033617D" w:rsidP="0033617D">
    <w:pPr>
      <w:pStyle w:val="Header"/>
      <w:jc w:val="center"/>
      <w:rPr>
        <w:color w:val="000000"/>
      </w:rPr>
    </w:pPr>
    <w:r w:rsidRPr="00373367">
      <w:rPr>
        <w:b/>
        <w:bCs/>
        <w:color w:val="000000"/>
      </w:rPr>
      <w:t xml:space="preserve">West London Equality </w:t>
    </w:r>
    <w:r w:rsidR="00364D56" w:rsidRPr="00373367">
      <w:rPr>
        <w:b/>
        <w:bCs/>
        <w:color w:val="000000"/>
      </w:rPr>
      <w:t>Centre</w:t>
    </w:r>
    <w:r w:rsidRPr="00373367">
      <w:rPr>
        <w:color w:val="000000"/>
      </w:rPr>
      <w:t xml:space="preserve"> </w:t>
    </w:r>
  </w:p>
  <w:p w14:paraId="5B43B6B4" w14:textId="4FC50649" w:rsidR="007333DD" w:rsidRDefault="0033617D" w:rsidP="007333DD">
    <w:pPr>
      <w:pStyle w:val="Header"/>
      <w:jc w:val="center"/>
      <w:rPr>
        <w:b/>
        <w:bCs/>
        <w:color w:val="000000"/>
      </w:rPr>
    </w:pPr>
    <w:r w:rsidRPr="00373367">
      <w:rPr>
        <w:b/>
        <w:bCs/>
        <w:color w:val="000000"/>
      </w:rPr>
      <w:t>Hammersmith and Fulham Law Centre</w:t>
    </w:r>
  </w:p>
  <w:p w14:paraId="0FE8FF84" w14:textId="77777777" w:rsidR="00373367" w:rsidRPr="00373367" w:rsidRDefault="00373367" w:rsidP="007333DD">
    <w:pPr>
      <w:pStyle w:val="Header"/>
      <w:jc w:val="center"/>
      <w:rPr>
        <w:b/>
        <w:bCs/>
        <w:color w:val="000000"/>
      </w:rPr>
    </w:pPr>
  </w:p>
  <w:p w14:paraId="6D563CFD" w14:textId="302FB6CF" w:rsidR="0033617D" w:rsidRPr="00373367" w:rsidRDefault="0033617D" w:rsidP="00373367">
    <w:pPr>
      <w:pStyle w:val="Header"/>
      <w:jc w:val="center"/>
      <w:rPr>
        <w:b/>
        <w:bCs/>
        <w:color w:val="000000"/>
        <w:sz w:val="18"/>
        <w:szCs w:val="18"/>
      </w:rPr>
    </w:pPr>
    <w:r w:rsidRPr="00373367">
      <w:rPr>
        <w:b/>
        <w:bCs/>
        <w:color w:val="000000"/>
        <w:sz w:val="18"/>
        <w:szCs w:val="18"/>
      </w:rPr>
      <w:t>Providing advice and support for EU Citizens living in North West London who need help making applications under the</w:t>
    </w:r>
  </w:p>
  <w:p w14:paraId="519C5E77" w14:textId="548EF1C4" w:rsidR="007333DD" w:rsidRPr="00373367" w:rsidRDefault="0033617D" w:rsidP="00373367">
    <w:pPr>
      <w:pStyle w:val="Header"/>
      <w:jc w:val="center"/>
      <w:rPr>
        <w:b/>
        <w:bCs/>
        <w:color w:val="000000"/>
        <w:sz w:val="18"/>
        <w:szCs w:val="18"/>
      </w:rPr>
    </w:pPr>
    <w:r w:rsidRPr="00373367">
      <w:rPr>
        <w:b/>
        <w:bCs/>
        <w:color w:val="000000"/>
        <w:sz w:val="18"/>
        <w:szCs w:val="18"/>
      </w:rPr>
      <w:t>European Union Settlement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03E8"/>
    <w:multiLevelType w:val="hybridMultilevel"/>
    <w:tmpl w:val="F6BAEE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D3B65C5"/>
    <w:multiLevelType w:val="hybridMultilevel"/>
    <w:tmpl w:val="ED045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0BD3"/>
    <w:multiLevelType w:val="hybridMultilevel"/>
    <w:tmpl w:val="8E62E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2073C"/>
    <w:multiLevelType w:val="hybridMultilevel"/>
    <w:tmpl w:val="80CA58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3732BE"/>
    <w:multiLevelType w:val="hybridMultilevel"/>
    <w:tmpl w:val="B80400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F3658B"/>
    <w:multiLevelType w:val="hybridMultilevel"/>
    <w:tmpl w:val="89F6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B0E6B"/>
    <w:multiLevelType w:val="hybridMultilevel"/>
    <w:tmpl w:val="A1EA12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78"/>
    <w:rsid w:val="002F03E3"/>
    <w:rsid w:val="0033617D"/>
    <w:rsid w:val="00356A60"/>
    <w:rsid w:val="00364D56"/>
    <w:rsid w:val="00373367"/>
    <w:rsid w:val="005E1A04"/>
    <w:rsid w:val="00646FB5"/>
    <w:rsid w:val="00662A33"/>
    <w:rsid w:val="006C4B57"/>
    <w:rsid w:val="00732BE9"/>
    <w:rsid w:val="007333DD"/>
    <w:rsid w:val="0079771B"/>
    <w:rsid w:val="008E7FCE"/>
    <w:rsid w:val="008F6EEA"/>
    <w:rsid w:val="00AF5C29"/>
    <w:rsid w:val="00BB765C"/>
    <w:rsid w:val="00D10CC4"/>
    <w:rsid w:val="00D2097D"/>
    <w:rsid w:val="00D31678"/>
    <w:rsid w:val="00F2749F"/>
    <w:rsid w:val="00F4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522784"/>
  <w15:chartTrackingRefBased/>
  <w15:docId w15:val="{12D97BAE-088A-45AA-A187-37597E58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678"/>
    <w:rPr>
      <w:color w:val="0000FF"/>
      <w:u w:val="single"/>
    </w:rPr>
  </w:style>
  <w:style w:type="paragraph" w:customStyle="1" w:styleId="xmsonormal">
    <w:name w:val="x_msonormal"/>
    <w:basedOn w:val="Normal"/>
    <w:rsid w:val="00D31678"/>
  </w:style>
  <w:style w:type="paragraph" w:styleId="ListParagraph">
    <w:name w:val="List Paragraph"/>
    <w:basedOn w:val="Normal"/>
    <w:uiPriority w:val="34"/>
    <w:qFormat/>
    <w:rsid w:val="005E1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1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1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SS@WLEC.NET" TargetMode="External"/><Relationship Id="rId13" Type="http://schemas.openxmlformats.org/officeDocument/2006/relationships/hyperlink" Target="https://gbr01.safelinks.protection.outlook.com/?url=http%3A%2F%2Fhflaw.org.uk%2Fcontact-us%2F&amp;data=04%7C01%7Cbarbara%40wlec.net%7C7fde5aa262c1441823d208d87a9eb1f3%7Cbfc9d61f446d47b387b123c808fca8db%7C1%7C0%7C637394169291124505%7CUnknown%7CTWFpbGZsb3d8eyJWIjoiMC4wLjAwMDAiLCJQIjoiV2luMzIiLCJBTiI6Ik1haWwiLCJXVCI6Mn0%3D%7C1000&amp;sdata=fUT7hasB%2FGAxwaUmuP73Eys7r9kRIYERTwIvWo%2FoYRA%3D&amp;reserved=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flaw.org.uk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br01.safelinks.protection.outlook.com/?url=http%3A%2F%2Fhflaw.org.uk%2F&amp;data=04%7C01%7Cbarbara%40wlec.net%7C31f7b3974d004f50c3c008d87a9d5a05%7Cbfc9d61f446d47b387b123c808fca8db%7C1%7C0%7C637394163518541013%7CUnknown%7CTWFpbGZsb3d8eyJWIjoiMC4wLjAwMDAiLCJQIjoiV2luMzIiLCJBTiI6Ik1haWwiLCJXVCI6Mn0%3D%7C1000&amp;sdata=33FC1yO1kX2Q30jP31ftPhekQ6soWkedVzZntEM4mmo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migration@hflaw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br01.safelinks.protection.outlook.com/?url=http%3A%2F%2Fwww.wlec.net%2F&amp;data=04%7C01%7Cbarbara%40wlec.net%7C31f7b3974d004f50c3c008d87a9d5a05%7Cbfc9d61f446d47b387b123c808fca8db%7C1%7C0%7C637394163518521030%7CUnknown%7CTWFpbGZsb3d8eyJWIjoiMC4wLjAwMDAiLCJQIjoiV2luMzIiLCJBTiI6Ik1haWwiLCJXVCI6Mn0%3D%7C1000&amp;sdata=TZifzRaiGod8A5lF3AhN0EJKNMZSHoRFZh1jto3t%2BzE%3D&amp;reserved=0" TargetMode="External"/><Relationship Id="rId10" Type="http://schemas.openxmlformats.org/officeDocument/2006/relationships/hyperlink" Target="https://gbr01.safelinks.protection.outlook.com/?url=https%3A%2F%2Fealinglawcentre.org.uk%2Feu-settlement-scheme%2F&amp;data=04%7C01%7Cbarbara%40wlec.net%7C31f7b3974d004f50c3c008d87a9d5a05%7Cbfc9d61f446d47b387b123c808fca8db%7C1%7C0%7C637394163518501033%7CUnknown%7CTWFpbGZsb3d8eyJWIjoiMC4wLjAwMDAiLCJQIjoiV2luMzIiLCJBTiI6Ik1haWwiLCJXVCI6Mn0%3D%7C1000&amp;sdata=HsHYI%2BAb23e%2F3EzJVmiz9%2FeofcW8%2FKnSqo719QroOsM%3D&amp;reserved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ealinglaw.org.uk" TargetMode="External"/><Relationship Id="rId14" Type="http://schemas.openxmlformats.org/officeDocument/2006/relationships/hyperlink" Target="https://gbr01.safelinks.protection.outlook.com/?url=https%3A%2F%2Fealinglawcentre.org.uk%2F&amp;data=04%7C01%7Cbarbara%40wlec.net%7C31f7b3974d004f50c3c008d87a9d5a05%7Cbfc9d61f446d47b387b123c808fca8db%7C1%7C0%7C637394163518511026%7CUnknown%7CTWFpbGZsb3d8eyJWIjoiMC4wLjAwMDAiLCJQIjoiV2luMzIiLCJBTiI6Ik1haWwiLCJXVCI6Mn0%3D%7C1000&amp;sdata=LbsSETtfKVYd0KN0AiGMc%2FvBuO%2FnLlJHmdeQDSTvtc4%3D&amp;reserved=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1ad749dd-cf81-4f96-b6d5-b62f940f6137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BF86-9644-473D-B10D-CEA9E6F3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 Joshi</dc:creator>
  <cp:keywords/>
  <dc:description/>
  <cp:lastModifiedBy>Lalit Joshi</cp:lastModifiedBy>
  <cp:revision>2</cp:revision>
  <dcterms:created xsi:type="dcterms:W3CDTF">2020-11-02T11:00:00Z</dcterms:created>
  <dcterms:modified xsi:type="dcterms:W3CDTF">2020-11-02T11:00:00Z</dcterms:modified>
</cp:coreProperties>
</file>